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BK 2008 7 vom 12. März 2008</w:t>
      </w:r>
    </w:p>
    <w:p>
      <w:r>
        <w:t>GR Gerichte, 2008-03-12, DE</w:t>
      </w:r>
    </w:p>
    <w:p>
      <w:r>
        <w:rPr>
          <w:b/>
        </w:rPr>
        <w:t xml:space="preserve">Quelle: </w:t>
      </w:r>
      <w:r>
        <w:t>https://mcp.opencaselaw.ch/entscheid/gr_gerichte_BK 2008 7</w:t>
      </w:r>
    </w:p>
    <w:p>
      <w:r>
        <w:t>FR: GR_GERICHTE BK 2008 7 du 12 mars 2008</w:t>
      </w:r>
    </w:p>
    <w:p>
      <w:r>
        <w:t>IT: GR_GERICHTE BK 2008 7 del 12 marzo 2008</w:t>
      </w:r>
    </w:p>
    <w:p>
      <w:pPr>
        <w:pStyle w:val="Heading2"/>
      </w:pPr>
      <w:r>
        <w:t>Regeste</w:t>
      </w:r>
    </w:p>
    <w:p>
      <w:r>
        <w:t>Beschlagnahme | Leitentscheid, publiziert als PKG 2008 13\x3Cbr\x3E | KreisP Andere Untersuchungsmassnahme</w:t>
      </w:r>
    </w:p>
    <w:p>
      <w:pPr>
        <w:pStyle w:val="Heading2"/>
      </w:pPr>
      <w:r>
        <w:t>Erwägungen</w:t>
      </w:r>
    </w:p>
    <w:p>
      <w:r>
        <w:rPr>
          <w:b/>
        </w:rPr>
        <w:t>E. 31</w:t>
      </w:r>
    </w:p>
    <w:p>
      <w:r>
        <w:t>Januar 2008 ist X. durch den angefochtenen Entscheid berührt und hat ein schutzwürdiges Interesse an dessen Aufhebung. Er ist folglich zur Beschwerde- führung legitimiert. b) Die Beschwerde ist gemäss Art. 139 Abs. 2 StPO innert 20 Tagen seit der Betroffene vom angefochtenen Entscheid Kenntnis erhalten hat, schrift- lich einzureichen. Sie muss, damit darauf eingetreten werden kann, begründet werden. Es ist darzulegen, welche Punkte angefochten werden und worin die Rechtswidrigkeit oder Unangemessenheit erblickt wird (vgl. Padrutt, Kommentar zur Strafprozessordnung des Kantons Graubünden, 2. Auflage 1996, S. 343 Ziff. 6). Dabei ist jedoch zu berücksichtigen, ob die Rechtsschrift von einem Rechts- anwalt oder einem juristischen Laien verfasst worden ist. Dass ein Rechtsanwalt aufgrund seiner Ausbildung und beruflichen Tätigkeit besser als ein juristischer Laie in der Lage sein muss, eine den gesetzlichen Anforderungen gerecht wer- dende Rechtsschrift einzureichen, versteht sich von selbst. Mit anderen Worten ist Laien gegenüber bei den formellen Erfordernissen eine gewisse Nachsicht auszuüben. Immerhin muss eine Eingabe nur dann als Rechtsmittel entgegen- genommen werden, wenn sie deutlich den Willen zum Ausdruck bringt, dass der Schreibende als Beschwerdeführer auftreten will und die Änderung einer be- stimmten, ihn betreffenden und mittels Verfügung geschaffenen Rechtslage an- strebt (vgl. Padrutt a.a.O., S. 339 Ziff. 6; BGE 117 Ia 126 E. 5c S. 131). Diesen Anforderungen vermag die vorliegende Beschwerde von X. zu genügen. Auf die im Übrigen fristgerecht eingereichte Beschwerde ist daher einzutreten. 2. Der Kreispräsident B. stützte die verfügte Beschlagnahme auf Art. 76 StPO ab. Unter Ziff. 1 Abs. 2 der Erwägungen führte er zusätzlich aus, es handle sich dabei um eine Sicherheitsverfügung. a) In Abs. 1 von Art. 76 StPO, der im Abschnitt „Allgemeine Grundsätze für die Untersuchung“ steht und von der „Durchführung der Untersu-</w:t>
      </w:r>
    </w:p>
    <w:p>
      <w:r>
        <w:t>4 chung handelt“, wird eine Vielzahl von Massnahmen genannt, die dem Untersu- chungsrichter - bei Übertretungstatbeständen gestützt auf Art. 170 StPO dem Kreispräsidenten - zur Verfügung stehen. Diese Aufzählung ist nicht etwa absch- liessend, vielmehr wird unmissverständlich gesagt, der Untersuchungsrichter könne - im Rahmen der Rechtsordnung - auch andere Erhebungen treffen, wel- che der Abklärung des Tatbestandes und der Feststellung des Täters dienlich seien (PKG 1994 Nr. 42 E. 2d S. 136 ff.). Mit anderen Worten umschreibt Art. 76 Abs. 1 StPO in allgemeiner Weise die Kompetenzen, die dem Untersuchungs- richter oder Kreispräsidenten als verantwortlichem Leiter der Untersuchung zu- kommen. Es handelt sich somit lediglich um eine Kompetenznorm, die jedoch über die rechtlichen Voraussetzungen der einzelnen Untersuchungsmassnah- men keine Aussagen macht. Vielmehr sind hierfür andere Normen heranzuzie- hen. So wird bei der Beschlagnahme unterschieden, ob eine solche der Beweis- sicherung dient (Art. 95 StPO) oder ob sie die Sicherstellung bezwecken soll (nArt. 69 StGB, vormals Art. 58 StGB). Der Kreispräsident B. qualifizierte die Be- schlagnahme ausdrücklich als „Sicherheitsverfügung“. Es kann daher davon aus- gegangen werden, dass damit die Sicherungseinziehung nach nArt. 69 StGB ge- meint war. b) Die in nArt. 69 StGB geregelte Sicherungseinziehung befasst sich mit der Einziehung von Gegenständen, welche einen Konnex zu einer Straftat aufweisen und angesichts ihrer aktuellen oder potentiellen Gefährdung für öffent- liche Rechtsgüter (Sicherheit, Sittlichkeit, Ordnung) ihrem Inhaber entzogen wer- den sollen. Zweck der Wegnahme der Gegenstände ist somit der Schutz bezie- hungsweise die Sicherung der Allgemeinheit vor im weiteren Sinne gefährlichen Gegenständen. Die Sicherungseinziehung setzt neben dem Bezug zu einer Straftat voraus, dass von den einzuziehenden Vermögenswerten eine Gefähr- dung für die Sicherheit von Menschen, die Sittlichkeit oder die öffentliche Ord- nung ausgeht. Da die Sicherungseinziehung einen Eingriff in die Eigentumsga- rantie gemäss Art. 26 BV darstellt, untersteht sie dem Grundsatz der Verhältnis- mässigkeit. Gemäss dem Prinzip der Zwecktauglichkeit hat die Einziehung zu unterbleiben, wenn sie zur Erreichung des Zwecks (Sicherung) ungeeignet ist. Die Zwecktauglichkeit kann etwa bei ganz problemloser Wiederbeschaffungs- möglichkeit, insbesondere bei Gegenständen des alltäglichen Gebrauchs, in Frage stehen (vgl. zum Ganzen Basler Kommentar, Strafrecht I, 2. Auflage, Basel 2007, N. 2 ff zu Art. 69 mit weiteren Hinweisen). c) Im vorliegenden Fall hat es der Kreispräsident B. unterlassen, sich im angefochtenen Entscheid darüber zu äussern, ob die rechtlichen Vorausset-</w:t>
      </w:r>
    </w:p>
    <w:p>
      <w:r>
        <w:t>5 zungen für eine Sicherungseinziehung erfüllt sind. Gemäss Art. 29 Abs. 2 BV haben die an gerichtlichen Verfahren beteiligten Parteien jedoch Anspruch auf rechtliches Gehör, wovon die Begründungspflicht ein wesentlicher Bestandteil darstellt. Die Begründung soll verhindern, dass sich die Behörde von unsachli- chen Motiven leiten lässt, und dem Betroffenen ermöglichen, die Verfügung ge- gebenenfalls sachgerecht anzufechten. Dies ist nur möglich, wenn sowohl er wie auch die Rechtsmittelinstanz sich über die Tragweite des Entscheids ein Bild ma- chen können. In diesem Sinn müssen wenigstens kurz die Überlegungen ge- nannt werden, von denen sich die Behörde hat leiten lassen und auf welche sich ihr Entscheid stützt. Dies bedeutet indessen nicht, dass sie sich ausdrücklich mit jeder tatbeständlichen Behauptung und jedem rechtlichen Einwand auseinander- setzen muss. Vielmehr kann sie sich auf die für den Entscheid wesentlichen Ge- sichtspunkte beschränken (BGE 133 I 270 E. 3.1 S. 277). Der angefochtenen Verfügung des Kreispräsidenten B. lässt sich nicht entnehmen, aufgrund welcher Überlegungen er zur Schlussfolgerung gelangte, eine Sicherungseinziehung sei im vorliegenden Fall gerechtfertigt. Somit liegt eine Verletzung des rechtlichen Gehörs vor. Da die Beschwerde nach Art. 138 ff. StPO in der Regel nur kassato- rische Wirkung hat, kann der Mangel durch die Beschwerdekammer nicht geheilt werden. Die Sache ist daher an den Kreispräsidenten zur Neuentscheidung im Sinne der Erwägungen zurückzuweisen. Er wird zu prüfen haben, ob die rechtli- chen Voraussetzungen für eine Sicherungseinziehung gegeben sind. Dabei wird er sich insbesondere auch mit der Frage auseinanderzusetzen haben, ob im vor- liegenden Fall tatsächlich eine künftige Gefährdung der Allgemeinheit vorliegt, zumal eine Sicherungseinziehung, wie in BGE 130 IV 143 E. 3.3.1 S. 148 darge- legt wird, nicht schon wegen der bereits begangenen Straftat zum Schutze des konkreten Geschädigten angeordnet werden darf. Sollte sich herausstellen, dass die Voraussetzungen nach Art. 69 StGB nicht erfüllt sind, so ist des Weiteren abzuklären, ob sich die Beschlagnahme gestützt auf Art. 76 StPO in Verbindung mit Art. 95 StPO rechtfertigen liesse, da gegen den Beschwerdeführer aufgrund seiner Plakate und anderer Gegenstände, mit denen er die A. als Gauner bezich- tigt, eine Ehrverletzungsklage hängig ist. 3. Ist die Beschwerde nach dem Gesagten gutzuheissen, gehen die Kosten des Beschwerdeverfahrens zu Lasten des Kantons Graubünden (Art. 160 Abs. 3 StPO). Da der Beschwerdeführer im Beschwerdeverfahren nicht anwalt- lich vertreten war, ist ihm praxisgemäss keine ausseramtliche Entschädigung zu- zusprechen.</w:t>
      </w:r>
    </w:p>
    <w:p>
      <w:r>
        <w:t>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